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32: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Estatuto, trayectoria y reconocimiento profesoral.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aplica y fortalece las disposiciones establecidas en el estatuto profesoral, o lo que haga sus veces, en el que se definen, entre otros aspectos, sus derechos y deberes, el régimen disciplinario, el escalafón docente, su participación en los órganos de gobierno de la institución y los criterios académicos e investigativos de vinculación, desarrollo, evaluación y permanencia en la institución, evidenciando los efectos de esas disposiciones en la trayectoria profesoral, la inclusión y el reconocimiento de los méritos y el ascenso en el escalafón, en coherencia con la naturaleza jurídica, identidad, tipología, misión y oferta académica.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s111mas0a2rw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AE.92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AE.92.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Apreciación del profesorado sobre el reconocimiento institucional a la trayectoria y la labor profesoral.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AE.92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xms207iu07pm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¿Se cumple que las disposiciones del estatuto profesoral de la institución tienen efectos claros y positivos en la trayectoria profesoral, promoviendo la inclusión y el reconocimiento de méritos?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DE APLICACIÓN DE LA ENCUESTA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AE.92.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AE.92.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5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6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7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IhW9fZUpvKsaSlKMsQ0VEvQew==">CgMxLjAyDmguczExMW1hczBhMnJ3Mg5oLnhtczIwN2l1MDdwbTgAciExQzI1aGtvdjd0S19fblY0WjVGNFFvcnRXTVRMRlk4dUg=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