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33: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Fortalecimiento de la planta profesoral en número, dedicación, formación y experiencia para materializar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cuenta con una planta profesoral diversa en su origen académico, demográfico, cultural y de género, apropiada con relación a la vinculación, cantidad y dedicación de los profesores, su formación y desarrollo profesional, en coherencia con su identidad, tipología, apuestas pedagógicas y oferta académica. Asimismo, muestra que ha establecido los mecanismos para la asignación del tiempo y de las actividades de sus profesores de forma equitativa y eficiente para el logro de los propósitos y objetivos misionales que se concretan en el desarrollo individual y en entornos colaborativos, de sus labores formativas, académicas, docentes, de investigación creación, de innovación, científicas, artísticas y culturales, y de relación con el sector externo (extensión o proyección social), acordes con el tipo de vinculación y contratación.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diversidad del cuerpo profesoral mantiene coherencia con la naturaleza jurídica, identidad, tipología, misión de la institución y modalidades de los programas académicos. De la misma forma, reconoce las características propias de los lugares de desarrollo de los programas académicos, y cuenta con estrategias que le permitan atender con alta calidad y pertinencia la docencia en dichos lugares.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sa386ayiw0jg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AE.95.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la calidad y capacidad del cuerpo profesoral para implementar el proyecto educativo institucional.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AE.95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d8lzqmd8n6x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grado de cumplimiento, considera que el cuerpo profesoral de la Institución Universitaria Digital de Antioquia tiene la calidad y capacidad necesarias para implementar adecuadamente el proyecto educativo institucional?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AE.95.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AE.95.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zBPYRrFOjFtR9wMdfiWAUocnQ==">CgMxLjAyDmguc2EzODZheWl3MGpnMg5oLmQ4bHpxbWQ4bjZ4ejgAciExUWF0elpuOVZMNVJXMTJzZk03alZRdW0wUXNHWExxczk=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