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Procesos de investigación, desarrollo tecnológico, innovación, creación e   investigación-creación artística y cultural en coherencia con las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capacidades, procesos y el proyecto educativo institucional.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acuerdo con su naturaleza jurídica, identidad, misión y tipología, la institución evidencia los procesos de producción académica, investigativa, de desarrollo tecnológico, innovación y de creación, y demuestra la aplicación de políticas claras y el compromiso explícito con estas dimensiones del quehacer académico. Dichas políticas se traducen además en acciones que incluyen el fomento y la evaluación de la actividad investigativa, de innovación y creación e investigación-creación artística y cultural de los profesores, la difusión de sus productos, el apoyo a proyectos y la estructura organizacional para el desarrollo de estas actividades, en coherencia con sus capacidades, procesos y el proyecto educativo institucional o lo que haga sus veces.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ucmwknshx29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AE.62.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Vinculación de los procesos de investigación con el cumplimiento de la misión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Políticas institucionales de investigación, creación e innovación aprobadas y difundidas.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1.718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Estrategias institucionales de fortalecimiento de capacidades investigativas, creativas e innovadoras en estudiantes y docentes.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institucionales que fortalezcan la Investigación, Desarrollo e Innovación (I+D+I).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https://www.iudigital.edu.co/images/pdfs/autoevaluacion-institucional/Factores/modelo-de-tablas/AE.62.xlsx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AE.62.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AE.62.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F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0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1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4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2.xlsx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9F0zpp9WruTu83/glapHmzVfQ==">CgMxLjAyDWgudWNtd2tuc2h4Mjk4AHIhMUV0OE9UYlBCRFZfMWYwTGNmUUEwSEpKcndKOVZlM0pD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