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de percepción institucional de la autoevaluación institucional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Utilice los resultados de la encuesta para crear una gráfica con etiquetas de datos, agregue una ficha informativa y realice un análisis interpretativo de los resultados obtenidos.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1.0" w:type="dxa"/>
        <w:jc w:val="left"/>
        <w:tblInd w:w="-577.0" w:type="dxa"/>
        <w:tblLayout w:type="fixed"/>
        <w:tblLook w:val="0400"/>
      </w:tblPr>
      <w:tblGrid>
        <w:gridCol w:w="3828"/>
        <w:gridCol w:w="6223"/>
        <w:tblGridChange w:id="0">
          <w:tblGrid>
            <w:gridCol w:w="3828"/>
            <w:gridCol w:w="6223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6: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 Una institución de alta calidad, de acuerdo con su naturaleza jurídica, identidad, misión y tipología, se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reconoce por tener procesos sobresalientes de formación para la investigación, el espíritu crítico y la creación, y por sus aportes al conocimiento científico, el desarrollo tecnológico, la innovación, la transferencia y el desarrollo cultural, en todo su ámbito de influencia. Asimismo, evidencia su responsabilidad social a través de la formación que ofrecen el impacto de sus contribuciones sociales, científicas, tecnológicas, culturales,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de innovación, de creación artística y cultural en la sociedad y de su compromiso con una sociedad ambientalmente sostenible y con el análisis y la gestión de los impactos relacionados con el desarrollo sostenible.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Procesos de investigación, desarrollo tecnológico, innovación, creación e   investigación-creación artística y cultural en coherencia con las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capacidades, procesos y el proyecto educativo institucional.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De acuerdo con su naturaleza jurídica, identidad, misión y tipología, la institución evidencia los procesos de producción académica, investigativa, de desarrollo tecnológico, innovación y de creación, y demuestra la aplicación de políticas claras y el compromiso explícito con estas dimensiones del quehacer académico. Dichas políticas se traducen además en acciones que incluyen el fomento y la evaluación de la actividad investigativa, de innovación y creación e investigación-creación artística y cultural de los profesores, la difusión de sus productos, el apoyo a proyectos y la estructura organizacional para el desarrollo de estas actividades, en coherencia con sus capacidades, procesos y el proyecto educativo institucional o lo que haga sus veces.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2zm6drym79wi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AE.65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AE.65.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Apreciación de la comunidad universitaria sobre los procesos de investigación, desarrollo e innovación.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Dirección de Investigación.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PRELIMINARES DE LA EVALUACIÓN DE PERCEPCIÓN INSTITUCIONAL </w:t>
      </w:r>
      <w:r w:rsidDel="00000000" w:rsidR="00000000" w:rsidRPr="00000000">
        <w:rPr>
          <w:b w:val="1"/>
          <w:sz w:val="24"/>
          <w:szCs w:val="24"/>
          <w:rtl w:val="0"/>
        </w:rPr>
        <w:t xml:space="preserve">DEL ASPECTO A EVALUAR AE.65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4776"/>
        <w:gridCol w:w="5714"/>
        <w:tblGridChange w:id="0">
          <w:tblGrid>
            <w:gridCol w:w="4776"/>
            <w:gridCol w:w="5714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eading=h.dloitrrw1vgs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ENCUESTA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PÚBLICO 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En qué medida considera que se cumple la siguiente afirmación: los procesos de investigación, desarrollo e innovación de la Institución Universitaria Digital de Antioquia son pertinentes.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Estudiantes, Profesores, Egresados.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En qué medida considera que se cumple la siguiente afirmación: los procesos de investigación, desarrollo e innovación de la Institución Universitaria Digital de Antioquia son de calidad.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Estudiantes, Profesores, Egresados.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En qué medida considera que se cumple la siguiente afirmación: los procesos de investigación, desarrollo e innovación de la Institución Universitaria Digital de Antioquia contribuyen al fortalecimiento académico.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Estudiantes, Profesores, Egresados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ESCALA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 LA ENCUESTA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PERSONAS ENCUESTADAS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sabe / No responde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se cumple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Insatisfactoriamente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aceptablemente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en alto grado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plenamente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número total de personas encuestadas (Ej. estudiantes: 1.800, egresados: 670, docentes: 180, directivos: 35, personal administrativo: 340).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E INTERPRETACIÓN DE LA PERCEPCIÓN INSTITUCIONAL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Presentar la gráfica con los resultados de la encuesta, acompañada de etiquetas de datos, ficha de información y análisis interpretativo de los resultados.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6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AE.65.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7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AE.65.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342900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6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8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9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EVALUACIÓN DE PERCEPCIÓN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A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PI-F-004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D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zp7qzLrKO/dajK2Qk5TB5i1oew==">CgMxLjAyDmguMnptNmRyeW03OXdpMg5oLmRsb2l0cnJ3MXZnczgAciExd0VodnRtSFQ2SzVJbTVYOXVrOTJwNDdtdzlNbzUtZzI=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2025-09-02T19:15:00Z</dcterms:created>
  <dc:creator>Isabela Carmona Londoño</dc:creator>
</cp:coreProperties>
</file>