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9: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Bienestar Institucional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una institución de alta calidad el bienestar institucional implica la existencia de diferentes programas y protocolos de promoción, prevención e intervención interna y en el entorno, que buscan cumplir con dos grandes objetivos: el primero es el mejoramiento de la calidad de vida y el desarrollo humano de los miembros de la comunidad académica con base en la identificación de sus necesidades e intereses en relación con las artes, las culturas, las lúdicas y los deportes, entre otras áreas; el segundo es mitigar los riesgos de afectación física, psicológica y social que se presenten en la dinámica institucional. Por ello, la institución cuenta con la estructura y la infraestructura adecuada, de acuerdo con su naturaleza jurídica, identidad, misión y tipología y, además, procura una flexibilidad curricular para que todos y todas hagan uso de los servicios que se dispongan. También cuenta con protocolos de prevención, detección, atención de violencias y cualquier tipo de discriminación basada en género; promoción, prevención y atención integral de la salud mental; y promoción, detección y atención de violencias, acoso y discriminación.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28: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Políticas del bienestar institucional para el desarrollo humano y el mejoramiento de la calidad de vida de las personas de su comunidad.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La institución demuestra que ha definido y aplica políticas y protocolos de bienestar institucional orientadas a promover el desarrollo humano y el mejoramiento de la calidad de vida de la persona y del grupo institucional (estudiantes, profesores y personal administrativo) como un todo. Estas acciones deben ser acordes con las condiciones y necesidades de cada persona, en cada uno de los lugares donde desarrolle sus labores. Asimismo, demuestra que las condiciones de bienestar promueven el desarrollo integral de la persona y sus responsabilidades dentro de una comunidad con participación y compromiso institucional.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q5obnv6u9ut5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AE.81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AE.81.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Coherencia y pertinencia de las políticas de bienestar institucional.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Dirección de Bienestar.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AE.81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Síntesis de los principales elementos de la política de bienestar institucional. </w:t>
            </w:r>
          </w:p>
          <w:p w:rsidR="00000000" w:rsidDel="00000000" w:rsidP="00000000" w:rsidRDefault="00000000" w:rsidRPr="00000000" w14:paraId="00000038">
            <w:pPr>
              <w:jc w:val="left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Informe que describa el alcance y resultados de la política de bienestar institucional.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Estructura organizativa y personal responsable de gestionar el bienestar institucional.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5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Recursos asignados para la ejecución de las políticas de bienestar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https://www.iudigital.edu.co/images/pdfs/autoevaluacion-institucional/Factores/modelo-de-tablas/AE.81A.xlsx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8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AE.81.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9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AE.81.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A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AE.81.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314325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8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9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A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D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81A.xlsx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JXVcXWbTvzI14FJVu2C0r6bGyg==">CgMxLjAyDmgucTVvYm52NnU5dXQ1OAByITFDOWtwY2ZRUFgtT2JmUnhnZ2VfTjJJRmd0Y04wZTFwQQ==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