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de percepción institucional de la autoevaluación institucional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Utilice los resultados de la encuesta para crear una gráfica con etiquetas de datos, agregue una ficha informativa y realice un análisis interpretativo de los resultados obtenidos.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1.0" w:type="dxa"/>
        <w:jc w:val="left"/>
        <w:tblInd w:w="-577.0" w:type="dxa"/>
        <w:tblLayout w:type="fixed"/>
        <w:tblLook w:val="0400"/>
      </w:tblPr>
      <w:tblGrid>
        <w:gridCol w:w="3828"/>
        <w:gridCol w:w="6223"/>
        <w:tblGridChange w:id="0">
          <w:tblGrid>
            <w:gridCol w:w="3828"/>
            <w:gridCol w:w="6223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9: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Bienestar Institucional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En una institución de alta calidad el bienestar institucional implica la existencia de diferentes programas y protocolos de promoción, prevención e intervención interna y en el entorno, que buscan cumplir con dos grandes objetivos: el primero es el mejoramiento de la calidad de vida y el desarrollo humano de los miembros de la comunidad académica con base en la identificación de sus necesidades e intereses en relación con las artes, las culturas, las lúdicas y los deportes, entre otras áreas; el segundo es mitigar los riesgos de afectación física, psicológica y social que se presenten en la dinámica institucional. Por ello, la institución cuenta con la estructura y la infraestructura adecuada, de acuerdo con su naturaleza jurídica, identidad, misión y tipología y, además, procura una flexibilidad curricular para que todos y todas hagan uso de los servicios que se dispongan. También cuenta con protocolos de prevención, detección, atención de violencias y cualquier tipo de discriminación basada en género; promoción, prevención y atención integral de la salud mental; y promoción, detección y atención de violencias, acoso y discriminación.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Consolidación de los programas y la infraestructura del bienestar acorde con las características de la comunidad de la institución en coherencia con su oferta académica, desarrollo y planeación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da cuenta del seguimiento al uso de los programas, recursos e infraestructura de bienestar y de su evaluación y mejoramiento periódico, en coherencia con las necesidades y características de la comunidad de la institución.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dcxnrh8shcr0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AE.84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AE.84.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Apreciación de la comunidad universitaria sobre el funcionamiento y cobertura de los programas e infraestructura disponible para el bienestar institucional.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4"/>
                <w:szCs w:val="24"/>
                <w:rtl w:val="0"/>
              </w:rPr>
              <w:t xml:space="preserve">Dirección de Bienestar.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20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PRELIMINARES DE LA EVALUACIÓN DE PERCEPCIÓN INSTITUCIONAL  </w:t>
      </w:r>
      <w:r w:rsidDel="00000000" w:rsidR="00000000" w:rsidRPr="00000000">
        <w:rPr>
          <w:b w:val="1"/>
          <w:sz w:val="24"/>
          <w:szCs w:val="24"/>
          <w:rtl w:val="0"/>
        </w:rPr>
        <w:t xml:space="preserve">DEL ASPECTO A EVALUAR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AE.84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4776"/>
        <w:gridCol w:w="5714"/>
        <w:tblGridChange w:id="0">
          <w:tblGrid>
            <w:gridCol w:w="4776"/>
            <w:gridCol w:w="5714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eading=h.pwkivulcw2zt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ENCUESTA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PÚBLICO 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¿En qué proporción considera usted que se cumple lo expresado a continuación? La Institución Universitaria Digital de Antioquia ofrece programas e infraestructura de bienestar institucional adecuados y con cobertura para toda la comunidad institucional.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Todos los públicos (Estudiantes, Profesores, Egresados, Administrativos, Directivos).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ESCALA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 LA ENCUESTA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PERSONAS ENCUESTADAS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sabe / No responde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se cumple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Insatisfactoriamente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aceptablemente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en alto grado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plenamente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número total de personas encuestadas (Ej. estudiantes: 1.800, egresados: 670, docentes: 180, directivos: 35, personal administrativo: 340).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E INTERPRETACIÓN DE LA PERCEPCIÓN INSTITUCIONAL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Presentar la gráfica con los resultados de la encuesta, acompañada de etiquetas de datos, ficha de información y análisis interpretativo de los resultados.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6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AE.84.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7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AE.84.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0" w:line="240" w:lineRule="auto"/>
        <w:rPr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304800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6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A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B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EVALUACIÓN DE PERCEPCIÓN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C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PI-F-004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F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vGOtOcmHOsOOwWuVpwxVE/VZ+Q==">CgMxLjAyDmguZGN4bnJoOHNoY3IwMg5oLnB3a2l2dWxjdzJ6dDgAciExcG9YRFhmWWw1QmR4ZkY2YjM3TTlCMENUY2xUSERpOG4=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2025-09-02T19:15:00Z</dcterms:created>
  <dc:creator>Isabela Carmona Londoño</dc:creator>
</cp:coreProperties>
</file>