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</w:t>
      </w:r>
      <w:r w:rsidDel="00000000" w:rsidR="00000000" w:rsidRPr="00000000">
        <w:rPr>
          <w:b w:val="1"/>
          <w:i w:val="1"/>
          <w:color w:val="073763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Factor 9: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Bienestar Institucional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En una institución de alta calidad el bienestar institucional implica la existencia de diferentes programas y protocolos de promoción, prevención e intervención interna y en el entorno, que buscan cumplir con dos grandes objetivos: el primero es el mejoramiento de la calidad de vida y el desarrollo humano de los miembros de la comunidad académica con base en la identificación de sus necesidades e intereses en relación con las artes, las culturas, las lúdicas y los deportes, entre otras áreas; el segundo es mitigar los riesgos de afectación física, psicológica y social que se presenten en la dinámica institucional. Por ello, la institución cuenta con la estructura y la infraestructura adecuada, de acuerdo con su naturaleza jurídica, identidad, misión y tipología y, además, procura una flexibilidad curricular para que todos y todas hagan uso de los servicios que se dispongan. También cuenta con protocolos de prevención, detección, atención de violencias y cualquier tipo de discriminación basada en género; promoción, prevención y atención integral de la salud mental; y promoción, detección y atención de violencias, acoso y discriminación.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Característica 30: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Estrategias de articulación del bienestar con las funciones de docencia, investigación y extensión y, con el acompañamiento y apoyo académico a estudiantes.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La institución acompaña y apoya el desarrollo integral de sus estudiantes e implementa mecanismos de inclusión para la atención de estudiantes de poblaciones diversas y con distintas características socioculturales. Además articula el bienestar con las funciones misionales de docencia, investigación-creación y extensión en el marco de los programas académicos.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71hsrp179in8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Aspecto a evaluar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AE.85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b w:val="1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808080"/>
                <w:sz w:val="24"/>
                <w:szCs w:val="24"/>
                <w:rtl w:val="0"/>
              </w:rPr>
              <w:t xml:space="preserve">AE.85. </w:t>
            </w: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Articulación efectiva entre los servicios de bienestar institucional y las demás funciones misionales de la institución.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Dependencias responsables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808080"/>
                <w:sz w:val="24"/>
                <w:szCs w:val="24"/>
                <w:rtl w:val="0"/>
              </w:rPr>
              <w:t xml:space="preserve">Dirección de Bienestar.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AE.8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Protocolos, procesos y resultado del trabajo conjunto entre el área de bienestar institucional con las demás funciones misionales de la institución.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4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las fortalezas identificadas en el aspecto evaluado AE.85.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5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AE.85.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0"/>
                <w:i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6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200" w:lineRule="auto"/>
              <w:jc w:val="center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AE.85.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i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rFonts w:ascii="Calibri" w:cs="Calibri" w:eastAsia="Calibri" w:hAnsi="Calibri"/>
          <w:b w:val="1"/>
          <w:i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304800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7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E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8F">
          <w:pPr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0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93">
          <w:pPr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559BUE/9MA9GSikAfp9ld/wnw==">CgMxLjAyDmguNzFoc3JwMTc5aW44OAByITFLemI2RlJiY1JyUHF4M2FzZkZ5UUlKSkJsejdhdXltVw==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